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1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>-2806/202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left="284" w:hanging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11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(628011,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привлекаемого к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Туренко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и проживающей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>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1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10"/>
        <w:jc w:val="center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средство без назначения врача.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частности, </w:t>
      </w:r>
      <w:r>
        <w:rPr>
          <w:rStyle w:val="cat-UserDefinedgrp-1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Timegrp-26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Рябиновая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30, кв.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потребил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альфа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пирролидиновалерофенон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(синоним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PVP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назначения врача.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вменяемым правонарушением согласил</w:t>
      </w:r>
      <w:r>
        <w:rPr>
          <w:rFonts w:ascii="Times New Roman" w:eastAsia="Times New Roman" w:hAnsi="Times New Roman" w:cs="Times New Roman"/>
          <w:sz w:val="26"/>
          <w:szCs w:val="26"/>
        </w:rPr>
        <w:t>ась, раскаивается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исследовав письменные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6.9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потребление наркотических средств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6.9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административным правонарушением является потребление наркотических средств без назначения врача,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 Федерального закона от </w:t>
      </w:r>
      <w:r>
        <w:rPr>
          <w:rStyle w:val="cat-Dategrp-13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 предусмотрено абз.2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Федерального закона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3-ФЗ «О наркотических средствах и психотропных веществах» наркотическими средствами являются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</w:t>
      </w:r>
      <w:r>
        <w:rPr>
          <w:rStyle w:val="cat-Dategrp-14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перечню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Российской Федерации, утверждённому поста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новлением Правительства РФ от </w:t>
      </w:r>
      <w:r>
        <w:rPr>
          <w:rStyle w:val="cat-Dategrp-1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681, </w:t>
      </w:r>
      <w:r>
        <w:rPr>
          <w:rFonts w:ascii="Times New Roman" w:eastAsia="Times New Roman" w:hAnsi="Times New Roman" w:cs="Times New Roman"/>
          <w:sz w:val="26"/>
          <w:szCs w:val="26"/>
        </w:rPr>
        <w:t>а-</w:t>
      </w:r>
      <w:r>
        <w:rPr>
          <w:rFonts w:ascii="Times New Roman" w:eastAsia="Times New Roman" w:hAnsi="Times New Roman" w:cs="Times New Roman"/>
          <w:sz w:val="26"/>
          <w:szCs w:val="26"/>
        </w:rPr>
        <w:t>пирролидинопентиофенон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(все изомеры) и их производные </w:t>
      </w:r>
      <w:r>
        <w:rPr>
          <w:rFonts w:ascii="Times New Roman" w:eastAsia="Times New Roman" w:hAnsi="Times New Roman" w:cs="Times New Roman"/>
          <w:sz w:val="26"/>
          <w:szCs w:val="26"/>
        </w:rPr>
        <w:t>отнес</w:t>
      </w:r>
      <w:r>
        <w:rPr>
          <w:rFonts w:ascii="Times New Roman" w:eastAsia="Times New Roman" w:hAnsi="Times New Roman" w:cs="Times New Roman"/>
          <w:sz w:val="26"/>
          <w:szCs w:val="26"/>
        </w:rPr>
        <w:t>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наркотическим средствам (список I).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>
        <w:rPr>
          <w:rStyle w:val="cat-Dategrp-1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383844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ОД МОМВД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Ханты-Мансийска от </w:t>
      </w:r>
      <w:r>
        <w:rPr>
          <w:rStyle w:val="cat-UserDefined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состояние опьянения (алкогольного, наркотического или иного токсического) от </w:t>
      </w:r>
      <w:r>
        <w:rPr>
          <w:rStyle w:val="cat-UserDefined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содержащим результат исследования биологического объекта (моча), заключение врача об установлении у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состояния опьянения, вызванного наркотическим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«альфа- </w:t>
      </w:r>
      <w:r>
        <w:rPr>
          <w:rFonts w:ascii="Times New Roman" w:eastAsia="Times New Roman" w:hAnsi="Times New Roman" w:cs="Times New Roman"/>
          <w:sz w:val="26"/>
          <w:szCs w:val="26"/>
        </w:rPr>
        <w:t>пирролидиновалерофенон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(синоним </w:t>
      </w:r>
      <w:r>
        <w:rPr>
          <w:rFonts w:ascii="Times New Roman" w:eastAsia="Times New Roman" w:hAnsi="Times New Roman" w:cs="Times New Roman"/>
          <w:sz w:val="26"/>
          <w:szCs w:val="26"/>
        </w:rPr>
        <w:t>PVP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6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справки на привлекаемое лицо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задержания лица от </w:t>
      </w:r>
      <w:r>
        <w:rPr>
          <w:rStyle w:val="cat-Dategrp-17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Приведенные доказательства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получены с соблюдением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наркотического средства без назначения врача.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квалифицируются как административное правонарушение, предусмотренное ч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6.9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– потребление наркотических средств без назначения врача,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добровольно обра</w:t>
      </w:r>
      <w:r>
        <w:rPr>
          <w:rFonts w:ascii="Times New Roman" w:eastAsia="Times New Roman" w:hAnsi="Times New Roman" w:cs="Times New Roman"/>
          <w:sz w:val="26"/>
          <w:szCs w:val="26"/>
        </w:rPr>
        <w:t>тил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этой связи основания для освобождения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административной ответственности за данное правонарушение отсутствуют.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Смягчающими ответственность обстоятельствами суд признает, в соответствии с ч.2 ст.4.2 КоАП РФ, признание вины.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 судом не установлено.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 мировой судья учитывает характер совершенного административного правонарушения, объектом которого является здоровье и общественная нравственность (нематериальные блага граждан), фактические обстоятельства содеянного,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и семейное положение.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>. наказания в пределах санкции ч.1 ст.6.9 КоАП РФ, в соответствии с требованиями ст.ст.3.1, 3.5 и 4.1 КоАП РФ, в виде административного штрафа.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 целесообразным применить положения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4.1. КоАП РФ.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оженного и 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23.1, 29.9 - 29.11 КоАП РФ, мировой судья </w:t>
      </w:r>
    </w:p>
    <w:p>
      <w:pPr>
        <w:spacing w:before="0" w:after="0"/>
        <w:ind w:firstLine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284"/>
        <w:jc w:val="center"/>
        <w:rPr>
          <w:sz w:val="26"/>
          <w:szCs w:val="26"/>
        </w:rPr>
      </w:pP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>Турен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 </w:t>
      </w:r>
      <w:r>
        <w:rPr>
          <w:rStyle w:val="cat-UserDefinedgrp-3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Style w:val="cat-Sumgrp-24rplc-4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пройти диагностику в БУ ХМАО – Югры «Ханты-Мансийская клиническая психоневрологическая больница» в срок не позднее 1 (одного) месяца со дня вступления настоящего постановления в законную силу.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Правительства РФ от </w:t>
      </w:r>
      <w:r>
        <w:rPr>
          <w:rStyle w:val="cat-Dategrp-18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врача», копию настоящего постановления направить Главному врачу БУ ХМАО – Югры «Ханты-Мансийская клиническая психоневрологическая больница», а также для контроля исполнения должностному лицу органов по контролю за оборотом наркотических средств и психотропных веществ, составивших протокол об административном правонарушении.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лицом обязанности пройти диагностику в БУ ХМАО – Югры «Ханты-Мансийская клиническая психоневрологическая больница» возлагается на МО МВД России «Ханты-Мансийский».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Туренко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что уклонение (неявка в установленный срок к врачу, неисполнение его рекомендаций)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>, влечет ответственность по ст.</w:t>
      </w:r>
      <w:r>
        <w:rPr>
          <w:rFonts w:ascii="Times New Roman" w:eastAsia="Times New Roman" w:hAnsi="Times New Roman" w:cs="Times New Roman"/>
          <w:sz w:val="26"/>
          <w:szCs w:val="26"/>
        </w:rPr>
        <w:t>6.9.1 Кодекса РФ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7rplc-5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8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9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ОКТМО: </w:t>
      </w:r>
      <w:r>
        <w:rPr>
          <w:rStyle w:val="cat-PhoneNumbergrp-30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0412365400805002032506135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87/1,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115.</w:t>
      </w:r>
    </w:p>
    <w:p>
      <w:pPr>
        <w:spacing w:before="0" w:after="0"/>
        <w:ind w:firstLine="7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1">
    <w:name w:val="cat-Date grp-11 rplc-1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12rplc-14">
    <w:name w:val="cat-UserDefined grp-12 rplc-14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UserDefinedgrp-12rplc-31">
    <w:name w:val="cat-UserDefined grp-12 rplc-31"/>
    <w:basedOn w:val="DefaultParagraphFont"/>
  </w:style>
  <w:style w:type="character" w:customStyle="1" w:styleId="cat-UserDefinedgrp-12rplc-32">
    <w:name w:val="cat-UserDefined grp-12 rplc-32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Sumgrp-24rplc-45">
    <w:name w:val="cat-Sum grp-24 rplc-45"/>
    <w:basedOn w:val="DefaultParagraphFont"/>
  </w:style>
  <w:style w:type="character" w:customStyle="1" w:styleId="cat-Dategrp-18rplc-48">
    <w:name w:val="cat-Date grp-18 rplc-48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PhoneNumbergrp-29rplc-57">
    <w:name w:val="cat-PhoneNumber grp-29 rplc-57"/>
    <w:basedOn w:val="DefaultParagraphFont"/>
  </w:style>
  <w:style w:type="character" w:customStyle="1" w:styleId="cat-PhoneNumbergrp-30rplc-58">
    <w:name w:val="cat-PhoneNumber grp-3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